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22" w:rsidRDefault="00293A64">
      <w:pPr>
        <w:snapToGrid w:val="0"/>
        <w:spacing w:line="400" w:lineRule="exact"/>
        <w:jc w:val="center"/>
      </w:pPr>
      <w:bookmarkStart w:id="0" w:name="_GoBack"/>
      <w:bookmarkEnd w:id="0"/>
      <w:r>
        <w:rPr>
          <w:rFonts w:eastAsia="標楷體"/>
          <w:sz w:val="36"/>
        </w:rPr>
        <w:t>開南大學</w:t>
      </w:r>
      <w:r>
        <w:rPr>
          <w:rFonts w:eastAsia="標楷體"/>
          <w:sz w:val="36"/>
          <w:szCs w:val="36"/>
        </w:rPr>
        <w:t>遠距教學課程</w:t>
      </w:r>
      <w:r>
        <w:rPr>
          <w:rFonts w:eastAsia="標楷體"/>
          <w:sz w:val="36"/>
        </w:rPr>
        <w:t>實施成效自評報告</w:t>
      </w:r>
    </w:p>
    <w:p w:rsidR="00260722" w:rsidRDefault="00260722">
      <w:pPr>
        <w:snapToGrid w:val="0"/>
        <w:spacing w:line="400" w:lineRule="exact"/>
        <w:jc w:val="both"/>
        <w:rPr>
          <w:rFonts w:eastAsia="標楷體"/>
          <w:sz w:val="36"/>
        </w:rPr>
      </w:pPr>
    </w:p>
    <w:p w:rsidR="00260722" w:rsidRDefault="00293A64">
      <w:pPr>
        <w:snapToGrid w:val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壹、課程計畫大綱</w:t>
      </w:r>
    </w:p>
    <w:p w:rsidR="00260722" w:rsidRDefault="00293A64">
      <w:pPr>
        <w:tabs>
          <w:tab w:val="left" w:pos="564"/>
        </w:tabs>
        <w:snapToGrid w:val="0"/>
        <w:spacing w:before="120" w:line="400" w:lineRule="exact"/>
        <w:ind w:left="564" w:hanging="564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一、課程基本資料：</w:t>
      </w:r>
    </w:p>
    <w:p w:rsidR="00260722" w:rsidRDefault="00293A64">
      <w:pPr>
        <w:tabs>
          <w:tab w:val="left" w:pos="1080"/>
        </w:tabs>
        <w:snapToGrid w:val="0"/>
        <w:spacing w:before="120" w:line="400" w:lineRule="exact"/>
        <w:ind w:firstLine="520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(</w:t>
      </w:r>
      <w:r>
        <w:rPr>
          <w:rFonts w:eastAsia="標楷體"/>
          <w:sz w:val="26"/>
        </w:rPr>
        <w:t>一</w:t>
      </w:r>
      <w:r>
        <w:rPr>
          <w:rFonts w:eastAsia="標楷體"/>
          <w:sz w:val="26"/>
        </w:rPr>
        <w:t xml:space="preserve">) </w:t>
      </w:r>
      <w:r>
        <w:rPr>
          <w:rFonts w:eastAsia="標楷體"/>
          <w:sz w:val="26"/>
        </w:rPr>
        <w:t>開課單位</w:t>
      </w:r>
    </w:p>
    <w:p w:rsidR="00260722" w:rsidRDefault="00293A64">
      <w:pPr>
        <w:tabs>
          <w:tab w:val="left" w:pos="1080"/>
        </w:tabs>
        <w:snapToGrid w:val="0"/>
        <w:spacing w:before="120" w:line="400" w:lineRule="exact"/>
        <w:ind w:firstLine="520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(</w:t>
      </w:r>
      <w:r>
        <w:rPr>
          <w:rFonts w:eastAsia="標楷體"/>
          <w:sz w:val="26"/>
        </w:rPr>
        <w:t>二</w:t>
      </w:r>
      <w:r>
        <w:rPr>
          <w:rFonts w:eastAsia="標楷體"/>
          <w:sz w:val="26"/>
        </w:rPr>
        <w:t xml:space="preserve">) </w:t>
      </w:r>
      <w:r>
        <w:rPr>
          <w:rFonts w:eastAsia="標楷體"/>
          <w:sz w:val="26"/>
        </w:rPr>
        <w:t>課號、班次、課程名稱</w:t>
      </w:r>
    </w:p>
    <w:p w:rsidR="00260722" w:rsidRDefault="00293A64">
      <w:pPr>
        <w:tabs>
          <w:tab w:val="left" w:pos="1080"/>
        </w:tabs>
        <w:snapToGrid w:val="0"/>
        <w:spacing w:before="120" w:line="400" w:lineRule="exact"/>
        <w:ind w:firstLine="520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(</w:t>
      </w:r>
      <w:r>
        <w:rPr>
          <w:rFonts w:eastAsia="標楷體"/>
          <w:sz w:val="26"/>
        </w:rPr>
        <w:t>三</w:t>
      </w:r>
      <w:r>
        <w:rPr>
          <w:rFonts w:eastAsia="標楷體"/>
          <w:sz w:val="26"/>
        </w:rPr>
        <w:t xml:space="preserve">) </w:t>
      </w:r>
      <w:r>
        <w:rPr>
          <w:rFonts w:eastAsia="標楷體"/>
          <w:sz w:val="26"/>
        </w:rPr>
        <w:t>授課教師姓名及職稱</w:t>
      </w:r>
    </w:p>
    <w:p w:rsidR="00260722" w:rsidRDefault="00293A64">
      <w:pPr>
        <w:tabs>
          <w:tab w:val="left" w:pos="1080"/>
        </w:tabs>
        <w:snapToGrid w:val="0"/>
        <w:spacing w:before="120" w:line="400" w:lineRule="exact"/>
        <w:ind w:firstLine="520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(</w:t>
      </w:r>
      <w:r>
        <w:rPr>
          <w:rFonts w:eastAsia="標楷體"/>
          <w:sz w:val="26"/>
        </w:rPr>
        <w:t>四</w:t>
      </w:r>
      <w:r>
        <w:rPr>
          <w:rFonts w:eastAsia="標楷體"/>
          <w:sz w:val="26"/>
        </w:rPr>
        <w:t xml:space="preserve">) </w:t>
      </w:r>
      <w:r>
        <w:rPr>
          <w:rFonts w:eastAsia="標楷體"/>
          <w:sz w:val="26"/>
        </w:rPr>
        <w:t>開課部別（大學部、進修部、碩士班、碩專班，或其他班別）</w:t>
      </w:r>
    </w:p>
    <w:p w:rsidR="00260722" w:rsidRDefault="00293A64">
      <w:pPr>
        <w:tabs>
          <w:tab w:val="left" w:pos="1080"/>
        </w:tabs>
        <w:snapToGrid w:val="0"/>
        <w:spacing w:before="120" w:line="400" w:lineRule="exact"/>
        <w:ind w:firstLine="520"/>
        <w:jc w:val="both"/>
      </w:pPr>
      <w:r>
        <w:rPr>
          <w:rFonts w:eastAsia="標楷體"/>
          <w:sz w:val="26"/>
        </w:rPr>
        <w:t>(</w:t>
      </w:r>
      <w:r>
        <w:rPr>
          <w:rFonts w:eastAsia="標楷體"/>
          <w:sz w:val="26"/>
        </w:rPr>
        <w:t>五</w:t>
      </w:r>
      <w:r>
        <w:rPr>
          <w:rFonts w:eastAsia="標楷體"/>
          <w:sz w:val="26"/>
        </w:rPr>
        <w:t xml:space="preserve">) </w:t>
      </w:r>
      <w:r>
        <w:rPr>
          <w:rFonts w:eastAsia="標楷體"/>
          <w:sz w:val="26"/>
        </w:rPr>
        <w:t>學分數及選修別（必修</w:t>
      </w:r>
      <w:r>
        <w:rPr>
          <w:rFonts w:eastAsia="標楷體"/>
        </w:rPr>
        <w:t>、</w:t>
      </w:r>
      <w:r>
        <w:rPr>
          <w:rFonts w:eastAsia="標楷體"/>
          <w:sz w:val="26"/>
        </w:rPr>
        <w:t>選修）</w:t>
      </w:r>
    </w:p>
    <w:p w:rsidR="00260722" w:rsidRDefault="00293A64">
      <w:pPr>
        <w:tabs>
          <w:tab w:val="left" w:pos="1080"/>
        </w:tabs>
        <w:snapToGrid w:val="0"/>
        <w:spacing w:before="120" w:line="400" w:lineRule="exact"/>
        <w:ind w:firstLine="520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(</w:t>
      </w:r>
      <w:r>
        <w:rPr>
          <w:rFonts w:eastAsia="標楷體"/>
          <w:sz w:val="26"/>
        </w:rPr>
        <w:t>六</w:t>
      </w:r>
      <w:r>
        <w:rPr>
          <w:rFonts w:eastAsia="標楷體"/>
          <w:sz w:val="26"/>
        </w:rPr>
        <w:t xml:space="preserve">) </w:t>
      </w:r>
      <w:r>
        <w:rPr>
          <w:rFonts w:eastAsia="標楷體"/>
          <w:sz w:val="26"/>
        </w:rPr>
        <w:t>開課期間（開課起訖日期或開課學年度及學期）</w:t>
      </w:r>
    </w:p>
    <w:p w:rsidR="00260722" w:rsidRDefault="00293A64">
      <w:pPr>
        <w:tabs>
          <w:tab w:val="left" w:pos="1080"/>
        </w:tabs>
        <w:snapToGrid w:val="0"/>
        <w:spacing w:before="120" w:line="400" w:lineRule="exact"/>
        <w:ind w:firstLine="520"/>
        <w:jc w:val="both"/>
      </w:pPr>
      <w:r>
        <w:rPr>
          <w:rFonts w:eastAsia="標楷體"/>
          <w:sz w:val="26"/>
        </w:rPr>
        <w:t>(</w:t>
      </w:r>
      <w:r>
        <w:rPr>
          <w:rFonts w:eastAsia="標楷體"/>
          <w:sz w:val="26"/>
        </w:rPr>
        <w:t>七</w:t>
      </w:r>
      <w:r>
        <w:rPr>
          <w:rFonts w:eastAsia="標楷體"/>
          <w:sz w:val="26"/>
        </w:rPr>
        <w:t xml:space="preserve">) </w:t>
      </w:r>
      <w:r>
        <w:rPr>
          <w:rFonts w:eastAsia="標楷體"/>
          <w:sz w:val="26"/>
        </w:rPr>
        <w:t>實際修課人數（校內及校外分別招收人數，</w:t>
      </w:r>
      <w:r>
        <w:rPr>
          <w:rFonts w:eastAsia="標楷體"/>
          <w:sz w:val="26"/>
          <w:u w:val="wave"/>
        </w:rPr>
        <w:t>以期末人數為準</w:t>
      </w:r>
      <w:r>
        <w:rPr>
          <w:rFonts w:eastAsia="標楷體"/>
          <w:sz w:val="26"/>
        </w:rPr>
        <w:t>）</w:t>
      </w:r>
    </w:p>
    <w:p w:rsidR="00260722" w:rsidRDefault="00293A64">
      <w:pPr>
        <w:tabs>
          <w:tab w:val="left" w:pos="564"/>
        </w:tabs>
        <w:snapToGrid w:val="0"/>
        <w:spacing w:before="120" w:line="400" w:lineRule="exact"/>
        <w:ind w:left="564" w:hanging="564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二、教學目標</w:t>
      </w:r>
    </w:p>
    <w:p w:rsidR="00260722" w:rsidRDefault="00293A64">
      <w:pPr>
        <w:tabs>
          <w:tab w:val="left" w:pos="564"/>
        </w:tabs>
        <w:snapToGrid w:val="0"/>
        <w:spacing w:before="120" w:line="400" w:lineRule="exact"/>
        <w:ind w:left="564" w:hanging="564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三、適合修讀對象</w:t>
      </w:r>
    </w:p>
    <w:p w:rsidR="00260722" w:rsidRDefault="00293A64">
      <w:pPr>
        <w:snapToGrid w:val="0"/>
        <w:spacing w:before="120" w:line="400" w:lineRule="exact"/>
        <w:ind w:left="490" w:hanging="490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四、實際授課課程內容大綱（請依週次，逐次填寫，並說明當週授課方式採同步、非同步或課室教學）</w:t>
      </w:r>
    </w:p>
    <w:p w:rsidR="00260722" w:rsidRDefault="00293A64">
      <w:pPr>
        <w:snapToGrid w:val="0"/>
        <w:spacing w:before="120" w:line="400" w:lineRule="exact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五、教學方式（可複選）</w:t>
      </w:r>
    </w:p>
    <w:p w:rsidR="00260722" w:rsidRDefault="00293A64">
      <w:pPr>
        <w:snapToGrid w:val="0"/>
        <w:spacing w:before="120" w:line="400" w:lineRule="exact"/>
        <w:ind w:left="566"/>
        <w:jc w:val="both"/>
      </w:pPr>
      <w:r>
        <w:rPr>
          <w:rFonts w:ascii="標楷體" w:eastAsia="標楷體" w:hAnsi="標楷體"/>
          <w:sz w:val="26"/>
        </w:rPr>
        <w:t xml:space="preserve">□ </w:t>
      </w:r>
      <w:r>
        <w:rPr>
          <w:rFonts w:eastAsia="標楷體"/>
          <w:sz w:val="26"/>
        </w:rPr>
        <w:t>提供線上課程主要及補充</w:t>
      </w:r>
      <w:r>
        <w:rPr>
          <w:rFonts w:eastAsia="標楷體"/>
          <w:bCs/>
          <w:sz w:val="26"/>
        </w:rPr>
        <w:t>教材</w:t>
      </w:r>
    </w:p>
    <w:p w:rsidR="00260722" w:rsidRDefault="00293A64">
      <w:pPr>
        <w:snapToGrid w:val="0"/>
        <w:spacing w:before="120" w:line="400" w:lineRule="exact"/>
        <w:ind w:left="566"/>
        <w:jc w:val="both"/>
      </w:pPr>
      <w:r>
        <w:rPr>
          <w:rFonts w:ascii="標楷體" w:eastAsia="標楷體" w:hAnsi="標楷體"/>
          <w:sz w:val="26"/>
        </w:rPr>
        <w:t xml:space="preserve">□ </w:t>
      </w:r>
      <w:r>
        <w:rPr>
          <w:rFonts w:eastAsia="標楷體"/>
          <w:sz w:val="26"/>
        </w:rPr>
        <w:t>提供線上非同步</w:t>
      </w:r>
      <w:r>
        <w:rPr>
          <w:rFonts w:eastAsia="標楷體"/>
          <w:bCs/>
          <w:sz w:val="26"/>
        </w:rPr>
        <w:t>教學</w:t>
      </w:r>
    </w:p>
    <w:p w:rsidR="00260722" w:rsidRDefault="00293A64">
      <w:pPr>
        <w:snapToGrid w:val="0"/>
        <w:spacing w:before="120" w:line="400" w:lineRule="exact"/>
        <w:ind w:left="566"/>
        <w:jc w:val="both"/>
      </w:pPr>
      <w:r>
        <w:rPr>
          <w:rFonts w:ascii="標楷體" w:eastAsia="標楷體" w:hAnsi="標楷體"/>
          <w:sz w:val="26"/>
        </w:rPr>
        <w:t xml:space="preserve">□ </w:t>
      </w:r>
      <w:r>
        <w:rPr>
          <w:rFonts w:eastAsia="標楷體"/>
          <w:sz w:val="26"/>
        </w:rPr>
        <w:t>有線上教師或線上助教</w:t>
      </w:r>
    </w:p>
    <w:p w:rsidR="00260722" w:rsidRDefault="00293A64">
      <w:pPr>
        <w:snapToGrid w:val="0"/>
        <w:spacing w:before="120" w:line="400" w:lineRule="exact"/>
        <w:ind w:left="566"/>
        <w:jc w:val="both"/>
      </w:pPr>
      <w:r>
        <w:rPr>
          <w:rFonts w:ascii="標楷體" w:eastAsia="標楷體" w:hAnsi="標楷體"/>
          <w:sz w:val="26"/>
        </w:rPr>
        <w:t xml:space="preserve">□ </w:t>
      </w:r>
      <w:r>
        <w:rPr>
          <w:rFonts w:eastAsia="標楷體"/>
          <w:sz w:val="26"/>
        </w:rPr>
        <w:t>提供面授</w:t>
      </w:r>
      <w:r>
        <w:rPr>
          <w:rFonts w:eastAsia="標楷體"/>
          <w:bCs/>
          <w:sz w:val="26"/>
        </w:rPr>
        <w:t>教學</w:t>
      </w:r>
      <w:r>
        <w:rPr>
          <w:rFonts w:eastAsia="標楷體"/>
          <w:sz w:val="26"/>
        </w:rPr>
        <w:t>，次數：　　　次，總時數：　　小時</w:t>
      </w:r>
    </w:p>
    <w:p w:rsidR="00260722" w:rsidRDefault="00293A64">
      <w:pPr>
        <w:snapToGrid w:val="0"/>
        <w:spacing w:before="120" w:line="400" w:lineRule="exact"/>
        <w:ind w:left="566"/>
        <w:jc w:val="both"/>
      </w:pPr>
      <w:r>
        <w:rPr>
          <w:rFonts w:ascii="標楷體" w:eastAsia="標楷體" w:hAnsi="標楷體"/>
          <w:sz w:val="26"/>
        </w:rPr>
        <w:t xml:space="preserve">□ </w:t>
      </w:r>
      <w:r>
        <w:rPr>
          <w:rFonts w:eastAsia="標楷體"/>
          <w:sz w:val="26"/>
        </w:rPr>
        <w:t>提供線上同步</w:t>
      </w:r>
      <w:r>
        <w:rPr>
          <w:rFonts w:eastAsia="標楷體"/>
          <w:bCs/>
          <w:sz w:val="26"/>
        </w:rPr>
        <w:t>教學</w:t>
      </w:r>
      <w:r>
        <w:rPr>
          <w:rFonts w:eastAsia="標楷體"/>
          <w:sz w:val="26"/>
        </w:rPr>
        <w:t>，次數：　　　次，總時數：　　小時</w:t>
      </w:r>
    </w:p>
    <w:p w:rsidR="00260722" w:rsidRDefault="00293A64">
      <w:pPr>
        <w:snapToGrid w:val="0"/>
        <w:spacing w:before="120" w:line="400" w:lineRule="exact"/>
        <w:ind w:left="566"/>
        <w:jc w:val="both"/>
      </w:pPr>
      <w:r>
        <w:rPr>
          <w:rFonts w:ascii="標楷體" w:eastAsia="標楷體" w:hAnsi="標楷體"/>
          <w:sz w:val="26"/>
        </w:rPr>
        <w:t xml:space="preserve">□ </w:t>
      </w:r>
      <w:r>
        <w:rPr>
          <w:rFonts w:eastAsia="標楷體"/>
          <w:sz w:val="26"/>
        </w:rPr>
        <w:t>其它：請說明：</w:t>
      </w:r>
    </w:p>
    <w:p w:rsidR="00260722" w:rsidRDefault="00293A64">
      <w:pPr>
        <w:snapToGrid w:val="0"/>
        <w:spacing w:before="120" w:line="400" w:lineRule="exact"/>
        <w:jc w:val="both"/>
      </w:pPr>
      <w:r>
        <w:rPr>
          <w:rFonts w:eastAsia="標楷體"/>
          <w:sz w:val="26"/>
        </w:rPr>
        <w:t>六、學習管理系統呈現內容是否包含以下角色及功能（有包含者請打</w:t>
      </w:r>
      <w:r>
        <w:rPr>
          <w:rFonts w:ascii="Wingdings" w:eastAsia="Wingdings" w:hAnsi="Wingdings" w:cs="Wingdings"/>
          <w:sz w:val="26"/>
        </w:rPr>
        <w:t></w:t>
      </w:r>
      <w:r>
        <w:rPr>
          <w:rFonts w:eastAsia="標楷體"/>
          <w:sz w:val="26"/>
        </w:rPr>
        <w:t>）</w:t>
      </w:r>
    </w:p>
    <w:p w:rsidR="00260722" w:rsidRDefault="00293A64">
      <w:pPr>
        <w:snapToGrid w:val="0"/>
        <w:spacing w:before="120" w:line="400" w:lineRule="exact"/>
        <w:ind w:left="2384" w:hanging="1820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(</w:t>
      </w:r>
      <w:r>
        <w:rPr>
          <w:rFonts w:eastAsia="標楷體"/>
          <w:sz w:val="26"/>
        </w:rPr>
        <w:t>一</w:t>
      </w:r>
      <w:r>
        <w:rPr>
          <w:rFonts w:eastAsia="標楷體"/>
          <w:sz w:val="26"/>
        </w:rPr>
        <w:t xml:space="preserve">) </w:t>
      </w:r>
      <w:r>
        <w:rPr>
          <w:rFonts w:eastAsia="標楷體"/>
          <w:sz w:val="26"/>
        </w:rPr>
        <w:t>提供給系統管理者進行學習管理系統資料庫管理</w:t>
      </w:r>
    </w:p>
    <w:p w:rsidR="00260722" w:rsidRDefault="00293A64">
      <w:pPr>
        <w:snapToGrid w:val="0"/>
        <w:spacing w:before="120" w:line="400" w:lineRule="exact"/>
        <w:ind w:firstLine="840"/>
        <w:jc w:val="both"/>
      </w:pPr>
      <w:r>
        <w:rPr>
          <w:rFonts w:ascii="標楷體" w:eastAsia="標楷體" w:hAnsi="標楷體"/>
          <w:sz w:val="26"/>
        </w:rPr>
        <w:t xml:space="preserve">□ </w:t>
      </w:r>
      <w:r>
        <w:rPr>
          <w:rFonts w:eastAsia="標楷體"/>
          <w:sz w:val="26"/>
        </w:rPr>
        <w:t>個人資料</w:t>
      </w:r>
    </w:p>
    <w:p w:rsidR="00260722" w:rsidRDefault="00293A64">
      <w:pPr>
        <w:snapToGrid w:val="0"/>
        <w:spacing w:before="120" w:line="400" w:lineRule="exact"/>
        <w:ind w:firstLine="840"/>
        <w:jc w:val="both"/>
      </w:pPr>
      <w:r>
        <w:rPr>
          <w:rFonts w:ascii="標楷體" w:eastAsia="標楷體" w:hAnsi="標楷體"/>
          <w:sz w:val="26"/>
        </w:rPr>
        <w:t xml:space="preserve">□ </w:t>
      </w:r>
      <w:r>
        <w:rPr>
          <w:rFonts w:eastAsia="標楷體"/>
          <w:sz w:val="26"/>
        </w:rPr>
        <w:t>課程資訊</w:t>
      </w:r>
    </w:p>
    <w:p w:rsidR="00260722" w:rsidRDefault="00293A64">
      <w:pPr>
        <w:snapToGrid w:val="0"/>
        <w:spacing w:before="120" w:line="400" w:lineRule="exact"/>
        <w:ind w:firstLine="840"/>
        <w:jc w:val="both"/>
      </w:pPr>
      <w:r>
        <w:rPr>
          <w:rFonts w:ascii="標楷體" w:eastAsia="標楷體" w:hAnsi="標楷體"/>
          <w:sz w:val="26"/>
        </w:rPr>
        <w:t>□</w:t>
      </w:r>
      <w:r>
        <w:rPr>
          <w:rFonts w:eastAsia="標楷體"/>
          <w:sz w:val="26"/>
        </w:rPr>
        <w:t xml:space="preserve"> </w:t>
      </w:r>
      <w:r>
        <w:rPr>
          <w:rFonts w:eastAsia="標楷體"/>
          <w:sz w:val="26"/>
        </w:rPr>
        <w:t>其他相關資料管理功能</w:t>
      </w:r>
    </w:p>
    <w:p w:rsidR="00260722" w:rsidRDefault="00293A64">
      <w:pPr>
        <w:snapToGrid w:val="0"/>
        <w:spacing w:before="120" w:line="400" w:lineRule="exact"/>
        <w:ind w:left="2384" w:hanging="1820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(</w:t>
      </w:r>
      <w:r>
        <w:rPr>
          <w:rFonts w:eastAsia="標楷體"/>
          <w:sz w:val="26"/>
        </w:rPr>
        <w:t>二</w:t>
      </w:r>
      <w:r>
        <w:rPr>
          <w:rFonts w:eastAsia="標楷體"/>
          <w:sz w:val="26"/>
        </w:rPr>
        <w:t xml:space="preserve">) </w:t>
      </w:r>
      <w:r>
        <w:rPr>
          <w:rFonts w:eastAsia="標楷體"/>
          <w:sz w:val="26"/>
        </w:rPr>
        <w:t>提供教師</w:t>
      </w:r>
      <w:r>
        <w:rPr>
          <w:rFonts w:eastAsia="標楷體"/>
          <w:sz w:val="26"/>
        </w:rPr>
        <w:t>(</w:t>
      </w:r>
      <w:r>
        <w:rPr>
          <w:rFonts w:eastAsia="標楷體"/>
          <w:sz w:val="26"/>
        </w:rPr>
        <w:t>助教</w:t>
      </w:r>
      <w:r>
        <w:rPr>
          <w:rFonts w:eastAsia="標楷體"/>
          <w:sz w:val="26"/>
        </w:rPr>
        <w:t>)</w:t>
      </w:r>
      <w:r>
        <w:rPr>
          <w:rFonts w:eastAsia="標楷體"/>
          <w:sz w:val="26"/>
        </w:rPr>
        <w:t>、學生必要之學習管理系統功能</w:t>
      </w:r>
    </w:p>
    <w:p w:rsidR="00260722" w:rsidRDefault="00293A64">
      <w:pPr>
        <w:snapToGrid w:val="0"/>
        <w:spacing w:before="120" w:line="400" w:lineRule="exact"/>
        <w:ind w:left="2382" w:hanging="1542"/>
        <w:jc w:val="both"/>
      </w:pPr>
      <w:r>
        <w:rPr>
          <w:rFonts w:ascii="標楷體" w:eastAsia="標楷體" w:hAnsi="標楷體"/>
          <w:sz w:val="26"/>
        </w:rPr>
        <w:lastRenderedPageBreak/>
        <w:t>□</w:t>
      </w:r>
      <w:r>
        <w:rPr>
          <w:rFonts w:eastAsia="標楷體"/>
          <w:sz w:val="26"/>
        </w:rPr>
        <w:t xml:space="preserve"> </w:t>
      </w:r>
      <w:r>
        <w:rPr>
          <w:rFonts w:eastAsia="標楷體"/>
          <w:sz w:val="26"/>
        </w:rPr>
        <w:t>最新消息發佈、瀏覽</w:t>
      </w:r>
    </w:p>
    <w:p w:rsidR="00260722" w:rsidRDefault="00293A64">
      <w:pPr>
        <w:snapToGrid w:val="0"/>
        <w:spacing w:before="120" w:line="400" w:lineRule="exact"/>
        <w:ind w:left="2382" w:hanging="1542"/>
        <w:jc w:val="both"/>
      </w:pPr>
      <w:r>
        <w:rPr>
          <w:rFonts w:ascii="標楷體" w:eastAsia="標楷體" w:hAnsi="標楷體"/>
          <w:sz w:val="26"/>
        </w:rPr>
        <w:t>□</w:t>
      </w:r>
      <w:r>
        <w:rPr>
          <w:rFonts w:eastAsia="標楷體"/>
          <w:sz w:val="26"/>
        </w:rPr>
        <w:t xml:space="preserve"> </w:t>
      </w:r>
      <w:r>
        <w:rPr>
          <w:rFonts w:eastAsia="標楷體"/>
          <w:sz w:val="26"/>
        </w:rPr>
        <w:t>教材內容設計、觀看、下載</w:t>
      </w:r>
    </w:p>
    <w:p w:rsidR="00260722" w:rsidRDefault="00293A64">
      <w:pPr>
        <w:snapToGrid w:val="0"/>
        <w:spacing w:before="120" w:line="400" w:lineRule="exact"/>
        <w:ind w:left="2382" w:hanging="1542"/>
        <w:jc w:val="both"/>
      </w:pPr>
      <w:r>
        <w:rPr>
          <w:rFonts w:ascii="標楷體" w:eastAsia="標楷體" w:hAnsi="標楷體"/>
          <w:sz w:val="26"/>
        </w:rPr>
        <w:t>□</w:t>
      </w:r>
      <w:r>
        <w:rPr>
          <w:rFonts w:eastAsia="標楷體"/>
          <w:sz w:val="26"/>
        </w:rPr>
        <w:t xml:space="preserve"> </w:t>
      </w:r>
      <w:r>
        <w:rPr>
          <w:rFonts w:eastAsia="標楷體"/>
          <w:sz w:val="26"/>
        </w:rPr>
        <w:t>成績系統管理及查詢</w:t>
      </w:r>
    </w:p>
    <w:p w:rsidR="00260722" w:rsidRDefault="00293A64">
      <w:pPr>
        <w:snapToGrid w:val="0"/>
        <w:spacing w:before="120" w:line="400" w:lineRule="exact"/>
        <w:ind w:left="2382" w:hanging="1542"/>
        <w:jc w:val="both"/>
      </w:pPr>
      <w:r>
        <w:rPr>
          <w:rFonts w:ascii="標楷體" w:eastAsia="標楷體" w:hAnsi="標楷體"/>
          <w:sz w:val="26"/>
        </w:rPr>
        <w:t>□</w:t>
      </w:r>
      <w:r>
        <w:rPr>
          <w:rFonts w:eastAsia="標楷體"/>
          <w:sz w:val="26"/>
        </w:rPr>
        <w:t xml:space="preserve"> </w:t>
      </w:r>
      <w:r>
        <w:rPr>
          <w:rFonts w:eastAsia="標楷體"/>
          <w:sz w:val="26"/>
        </w:rPr>
        <w:t>進行線上測驗、發佈</w:t>
      </w:r>
    </w:p>
    <w:p w:rsidR="00260722" w:rsidRDefault="00293A64">
      <w:pPr>
        <w:snapToGrid w:val="0"/>
        <w:spacing w:before="120" w:line="400" w:lineRule="exact"/>
        <w:ind w:left="564" w:firstLine="276"/>
        <w:jc w:val="both"/>
      </w:pPr>
      <w:r>
        <w:rPr>
          <w:rFonts w:ascii="標楷體" w:eastAsia="標楷體" w:hAnsi="標楷體"/>
          <w:sz w:val="26"/>
        </w:rPr>
        <w:t>□</w:t>
      </w:r>
      <w:r>
        <w:rPr>
          <w:rFonts w:eastAsia="標楷體"/>
          <w:sz w:val="26"/>
        </w:rPr>
        <w:t xml:space="preserve"> </w:t>
      </w:r>
      <w:r>
        <w:rPr>
          <w:rFonts w:eastAsia="標楷體"/>
          <w:sz w:val="26"/>
        </w:rPr>
        <w:t>學習資訊</w:t>
      </w:r>
    </w:p>
    <w:p w:rsidR="00260722" w:rsidRDefault="00293A64">
      <w:pPr>
        <w:snapToGrid w:val="0"/>
        <w:spacing w:before="120" w:line="400" w:lineRule="exact"/>
        <w:ind w:left="2382" w:hanging="1542"/>
        <w:jc w:val="both"/>
      </w:pPr>
      <w:r>
        <w:rPr>
          <w:rFonts w:ascii="標楷體" w:eastAsia="標楷體" w:hAnsi="標楷體"/>
          <w:sz w:val="26"/>
        </w:rPr>
        <w:t>□</w:t>
      </w:r>
      <w:r>
        <w:rPr>
          <w:rFonts w:eastAsia="標楷體"/>
          <w:sz w:val="26"/>
        </w:rPr>
        <w:t xml:space="preserve"> </w:t>
      </w:r>
      <w:r>
        <w:rPr>
          <w:rFonts w:eastAsia="標楷體"/>
          <w:sz w:val="26"/>
        </w:rPr>
        <w:t>互動式學習設計</w:t>
      </w:r>
      <w:r>
        <w:rPr>
          <w:rFonts w:eastAsia="標楷體"/>
          <w:sz w:val="26"/>
        </w:rPr>
        <w:t>(</w:t>
      </w:r>
      <w:r>
        <w:rPr>
          <w:rFonts w:eastAsia="標楷體"/>
          <w:sz w:val="26"/>
        </w:rPr>
        <w:t>聊天室或討論區</w:t>
      </w:r>
      <w:r>
        <w:rPr>
          <w:rFonts w:eastAsia="標楷體"/>
          <w:sz w:val="26"/>
        </w:rPr>
        <w:t>)</w:t>
      </w:r>
    </w:p>
    <w:p w:rsidR="00260722" w:rsidRDefault="00293A64">
      <w:pPr>
        <w:snapToGrid w:val="0"/>
        <w:spacing w:before="120" w:line="400" w:lineRule="exact"/>
        <w:ind w:left="2382" w:hanging="1542"/>
        <w:jc w:val="both"/>
      </w:pPr>
      <w:r>
        <w:rPr>
          <w:rFonts w:ascii="標楷體" w:eastAsia="標楷體" w:hAnsi="標楷體"/>
          <w:sz w:val="26"/>
        </w:rPr>
        <w:t>□</w:t>
      </w:r>
      <w:r>
        <w:rPr>
          <w:rFonts w:eastAsia="標楷體"/>
          <w:sz w:val="26"/>
        </w:rPr>
        <w:t xml:space="preserve"> </w:t>
      </w:r>
      <w:r>
        <w:rPr>
          <w:rFonts w:eastAsia="標楷體"/>
          <w:sz w:val="26"/>
        </w:rPr>
        <w:t>各種教學活動之功能呈現</w:t>
      </w:r>
    </w:p>
    <w:p w:rsidR="00260722" w:rsidRDefault="00293A64">
      <w:pPr>
        <w:snapToGrid w:val="0"/>
        <w:spacing w:before="120" w:line="400" w:lineRule="exact"/>
        <w:ind w:left="564" w:firstLine="276"/>
        <w:jc w:val="both"/>
      </w:pPr>
      <w:r>
        <w:rPr>
          <w:rFonts w:ascii="標楷體" w:eastAsia="標楷體" w:hAnsi="標楷體"/>
          <w:sz w:val="26"/>
        </w:rPr>
        <w:t>□</w:t>
      </w:r>
      <w:r>
        <w:rPr>
          <w:rFonts w:eastAsia="標楷體"/>
          <w:sz w:val="26"/>
        </w:rPr>
        <w:t xml:space="preserve"> </w:t>
      </w:r>
      <w:r>
        <w:rPr>
          <w:rFonts w:eastAsia="標楷體"/>
          <w:sz w:val="26"/>
        </w:rPr>
        <w:t>其他相關功能</w:t>
      </w:r>
    </w:p>
    <w:p w:rsidR="00260722" w:rsidRDefault="00293A64">
      <w:pPr>
        <w:tabs>
          <w:tab w:val="left" w:pos="564"/>
        </w:tabs>
        <w:snapToGrid w:val="0"/>
        <w:spacing w:before="120" w:line="400" w:lineRule="exact"/>
        <w:ind w:left="564" w:hanging="564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七、師生互動討論情況（包括教師時間、</w:t>
      </w:r>
      <w:r>
        <w:rPr>
          <w:rFonts w:eastAsia="標楷體"/>
          <w:sz w:val="26"/>
        </w:rPr>
        <w:t>E-mail</w:t>
      </w:r>
      <w:r>
        <w:rPr>
          <w:rFonts w:eastAsia="標楷體"/>
          <w:sz w:val="26"/>
        </w:rPr>
        <w:t>信箱、對應窗口等）</w:t>
      </w:r>
    </w:p>
    <w:p w:rsidR="00260722" w:rsidRDefault="00293A64">
      <w:pPr>
        <w:tabs>
          <w:tab w:val="left" w:pos="564"/>
        </w:tabs>
        <w:snapToGrid w:val="0"/>
        <w:spacing w:before="120" w:line="400" w:lineRule="exact"/>
        <w:ind w:left="520" w:hanging="520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八、作業繳交情況（例如是否提供線上說明作業內容、線上即時作業填答、作業檔案上傳及下載、線上測驗、成績查詢、或其他做法）</w:t>
      </w:r>
    </w:p>
    <w:p w:rsidR="00260722" w:rsidRDefault="00293A64">
      <w:pPr>
        <w:tabs>
          <w:tab w:val="left" w:pos="564"/>
        </w:tabs>
        <w:snapToGrid w:val="0"/>
        <w:spacing w:before="120" w:line="400" w:lineRule="exact"/>
        <w:ind w:left="564" w:hanging="564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九、成績評量方式（包括考試方式、考評項目其所佔總分比率）</w:t>
      </w:r>
    </w:p>
    <w:p w:rsidR="00260722" w:rsidRDefault="00293A64">
      <w:pPr>
        <w:tabs>
          <w:tab w:val="left" w:pos="564"/>
        </w:tabs>
        <w:snapToGrid w:val="0"/>
        <w:spacing w:before="120" w:line="400" w:lineRule="exact"/>
        <w:ind w:left="564" w:hanging="564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十、上課注意事項</w:t>
      </w:r>
    </w:p>
    <w:p w:rsidR="00260722" w:rsidRDefault="00260722">
      <w:pPr>
        <w:rPr>
          <w:rFonts w:eastAsia="標楷體"/>
        </w:rPr>
      </w:pPr>
    </w:p>
    <w:p w:rsidR="00260722" w:rsidRDefault="00293A64">
      <w:pPr>
        <w:ind w:left="480" w:hanging="480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貳、教學成效自評（含學生學習評量及本課程教學成果）</w:t>
      </w:r>
    </w:p>
    <w:p w:rsidR="00260722" w:rsidRDefault="00260722">
      <w:pPr>
        <w:ind w:left="480" w:hanging="480"/>
        <w:rPr>
          <w:rFonts w:eastAsia="標楷體"/>
          <w:bCs/>
        </w:rPr>
      </w:pPr>
    </w:p>
    <w:p w:rsidR="00260722" w:rsidRDefault="00260722">
      <w:pPr>
        <w:ind w:left="480" w:hanging="480"/>
        <w:rPr>
          <w:rFonts w:eastAsia="標楷體"/>
          <w:bCs/>
        </w:rPr>
      </w:pPr>
    </w:p>
    <w:sectPr w:rsidR="00260722">
      <w:footerReference w:type="default" r:id="rId7"/>
      <w:pgSz w:w="11906" w:h="16838"/>
      <w:pgMar w:top="1134" w:right="851" w:bottom="1134" w:left="85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64" w:rsidRDefault="00293A64">
      <w:r>
        <w:separator/>
      </w:r>
    </w:p>
  </w:endnote>
  <w:endnote w:type="continuationSeparator" w:id="0">
    <w:p w:rsidR="00293A64" w:rsidRDefault="0029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B7" w:rsidRDefault="00293A6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F450D">
      <w:rPr>
        <w:noProof/>
      </w:rPr>
      <w:t>1</w:t>
    </w:r>
    <w:r>
      <w:fldChar w:fldCharType="end"/>
    </w:r>
  </w:p>
  <w:p w:rsidR="00935EB7" w:rsidRDefault="00293A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64" w:rsidRDefault="00293A64">
      <w:r>
        <w:rPr>
          <w:color w:val="000000"/>
        </w:rPr>
        <w:separator/>
      </w:r>
    </w:p>
  </w:footnote>
  <w:footnote w:type="continuationSeparator" w:id="0">
    <w:p w:rsidR="00293A64" w:rsidRDefault="0029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3B10"/>
    <w:multiLevelType w:val="multilevel"/>
    <w:tmpl w:val="23A0322E"/>
    <w:styleLink w:val="WW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" w15:restartNumberingAfterBreak="0">
    <w:nsid w:val="2AEC6B53"/>
    <w:multiLevelType w:val="multilevel"/>
    <w:tmpl w:val="270423BA"/>
    <w:styleLink w:val="WWNum12"/>
    <w:lvl w:ilvl="0">
      <w:start w:val="1"/>
      <w:numFmt w:val="decimal"/>
      <w:lvlText w:val="%1."/>
      <w:lvlJc w:val="left"/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F873E2B"/>
    <w:multiLevelType w:val="multilevel"/>
    <w:tmpl w:val="68B430F6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6E5B74B0"/>
    <w:multiLevelType w:val="multilevel"/>
    <w:tmpl w:val="C720C940"/>
    <w:styleLink w:val="WWNum4"/>
    <w:lvl w:ilvl="0">
      <w:start w:val="1"/>
      <w:numFmt w:val="japaneseCounting"/>
      <w:lvlText w:val="%1"/>
      <w:lvlJc w:val="left"/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0722"/>
    <w:rsid w:val="00260722"/>
    <w:rsid w:val="00293A64"/>
    <w:rsid w:val="002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0F4C0-FAEE-45C4-8200-F8AEA27C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新細明體" w:hAnsi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sz w:val="20"/>
      <w:szCs w:val="20"/>
    </w:rPr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新細明體" w:hAnsi="新細明體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ascii="新細明體" w:hAnsi="新細明體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  <w:style w:type="paragraph" w:customStyle="1" w:styleId="TableContents">
    <w:name w:val="Table Contents"/>
    <w:basedOn w:val="Standard"/>
  </w:style>
  <w:style w:type="character" w:styleId="a9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4">
    <w:name w:val="WWNum4"/>
    <w:basedOn w:val="a2"/>
    <w:pPr>
      <w:numPr>
        <w:numId w:val="3"/>
      </w:numPr>
    </w:pPr>
  </w:style>
  <w:style w:type="numbering" w:customStyle="1" w:styleId="WWNum12">
    <w:name w:val="WWNum12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中臺科技大學遠距教學實施辦法</dc:title>
  <dc:creator>chtaiuser</dc:creator>
  <cp:lastModifiedBy>knuuser</cp:lastModifiedBy>
  <cp:revision>2</cp:revision>
  <cp:lastPrinted>2019-11-07T03:06:00Z</cp:lastPrinted>
  <dcterms:created xsi:type="dcterms:W3CDTF">2021-07-01T07:12:00Z</dcterms:created>
  <dcterms:modified xsi:type="dcterms:W3CDTF">2021-07-01T07:12:00Z</dcterms:modified>
</cp:coreProperties>
</file>